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9ED76EE">
      <w:pPr>
        <w:spacing w:after="120"/>
        <w:jc w:val="center"/>
      </w:pPr>
      <w:r>
        <w:rPr>
          <w:rFonts w:ascii="Times New Roman" w:hAnsi="Times New Roman" w:eastAsia="黑体"/>
          <w:b/>
          <w:color w:val="000000"/>
          <w:sz w:val="28"/>
        </w:rPr>
        <w:t>信息化运维服务分项报价清单</w:t>
      </w:r>
    </w:p>
    <w:p w14:paraId="48BBC9D7">
      <w:pPr>
        <w:spacing w:after="120"/>
      </w:pPr>
      <w:r>
        <w:rPr>
          <w:rFonts w:ascii="Times New Roman" w:hAnsi="Times New Roman" w:eastAsia="宋体"/>
          <w:b w:val="0"/>
          <w:color w:val="000000"/>
          <w:sz w:val="21"/>
        </w:rPr>
        <w:t>报价单位（盖章）：____________________　　填报日期：______年____月____日</w:t>
      </w: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7"/>
        <w:gridCol w:w="1814"/>
        <w:gridCol w:w="3742"/>
        <w:gridCol w:w="1361"/>
        <w:gridCol w:w="1417"/>
      </w:tblGrid>
      <w:tr w14:paraId="39CE90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blHeader/>
          <w:jc w:val="center"/>
        </w:trPr>
        <w:tc>
          <w:tcPr>
            <w:tcW w:w="737" w:type="dxa"/>
            <w:shd w:val="clear" w:color="auto" w:fill="F2F2F2"/>
            <w:vAlign w:val="center"/>
          </w:tcPr>
          <w:p w14:paraId="1B639890">
            <w:pPr>
              <w:spacing w:before="40" w:after="4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序号</w:t>
            </w:r>
          </w:p>
        </w:tc>
        <w:tc>
          <w:tcPr>
            <w:tcW w:w="1814" w:type="dxa"/>
            <w:shd w:val="clear" w:color="auto" w:fill="F2F2F2"/>
            <w:vAlign w:val="center"/>
          </w:tcPr>
          <w:p w14:paraId="420C313A">
            <w:pPr>
              <w:spacing w:before="40" w:after="4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服务分项</w:t>
            </w:r>
          </w:p>
        </w:tc>
        <w:tc>
          <w:tcPr>
            <w:tcW w:w="3742" w:type="dxa"/>
            <w:shd w:val="clear" w:color="auto" w:fill="F2F2F2"/>
            <w:vAlign w:val="center"/>
          </w:tcPr>
          <w:p w14:paraId="6607ECB3">
            <w:pPr>
              <w:spacing w:before="40" w:after="4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服务内容简述</w:t>
            </w:r>
          </w:p>
        </w:tc>
        <w:tc>
          <w:tcPr>
            <w:tcW w:w="1361" w:type="dxa"/>
            <w:shd w:val="clear" w:color="auto" w:fill="F2F2F2"/>
            <w:vAlign w:val="center"/>
          </w:tcPr>
          <w:p w14:paraId="61641DA3">
            <w:pPr>
              <w:spacing w:before="40" w:after="4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单年度报价（元）</w:t>
            </w:r>
          </w:p>
        </w:tc>
        <w:tc>
          <w:tcPr>
            <w:tcW w:w="1417" w:type="dxa"/>
            <w:shd w:val="clear" w:color="auto" w:fill="F2F2F2"/>
            <w:vAlign w:val="center"/>
          </w:tcPr>
          <w:p w14:paraId="577B26EF">
            <w:pPr>
              <w:spacing w:before="40" w:after="4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备注</w:t>
            </w:r>
          </w:p>
        </w:tc>
      </w:tr>
      <w:tr w14:paraId="2B3D4A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37" w:type="dxa"/>
            <w:vAlign w:val="center"/>
          </w:tcPr>
          <w:p w14:paraId="485F6772">
            <w:pPr>
              <w:spacing w:before="40" w:after="4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w="1814" w:type="dxa"/>
            <w:vAlign w:val="center"/>
          </w:tcPr>
          <w:p w14:paraId="651B8AB1">
            <w:pPr>
              <w:spacing w:before="40" w:after="40" w:line="240" w:lineRule="auto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东华自主产品软件维保</w:t>
            </w:r>
          </w:p>
        </w:tc>
        <w:tc>
          <w:tcPr>
            <w:tcW w:w="3742" w:type="dxa"/>
            <w:vAlign w:val="center"/>
          </w:tcPr>
          <w:p w14:paraId="433289C8">
            <w:pPr>
              <w:spacing w:before="40" w:after="40" w:line="240" w:lineRule="auto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附件全部东华自主软件日常运维、系统对接、有限需求开发、固定项目经理（5×8）、季度巡检、培训</w:t>
            </w:r>
          </w:p>
        </w:tc>
        <w:tc>
          <w:tcPr>
            <w:tcW w:w="1361" w:type="dxa"/>
            <w:vAlign w:val="center"/>
          </w:tcPr>
          <w:p w14:paraId="3B3C7D75">
            <w:pPr>
              <w:spacing w:before="40" w:after="40" w:line="240" w:lineRule="auto"/>
              <w:ind w:firstLine="0"/>
              <w:jc w:val="right"/>
            </w:pPr>
          </w:p>
        </w:tc>
        <w:tc>
          <w:tcPr>
            <w:tcW w:w="1417" w:type="dxa"/>
            <w:vAlign w:val="center"/>
          </w:tcPr>
          <w:p w14:paraId="077B0122">
            <w:pPr>
              <w:spacing w:before="40" w:after="40" w:line="240" w:lineRule="auto"/>
              <w:ind w:firstLine="0"/>
              <w:jc w:val="center"/>
            </w:pPr>
          </w:p>
        </w:tc>
      </w:tr>
      <w:tr w14:paraId="7F6041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37" w:type="dxa"/>
            <w:vAlign w:val="center"/>
          </w:tcPr>
          <w:p w14:paraId="255B39FC">
            <w:pPr>
              <w:spacing w:before="40" w:after="4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w="1814" w:type="dxa"/>
            <w:vAlign w:val="center"/>
          </w:tcPr>
          <w:p w14:paraId="21A27DD2">
            <w:pPr>
              <w:spacing w:before="40" w:after="40" w:line="240" w:lineRule="auto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非东华自主产品软件维保</w:t>
            </w:r>
          </w:p>
        </w:tc>
        <w:tc>
          <w:tcPr>
            <w:tcW w:w="3742" w:type="dxa"/>
            <w:vAlign w:val="center"/>
          </w:tcPr>
          <w:p w14:paraId="1D6A170D">
            <w:pPr>
              <w:spacing w:before="40" w:after="40" w:line="240" w:lineRule="auto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数字签名&amp;时间戳（7×24远程、4小时到场、季度巡检、应急预案</w:t>
            </w:r>
            <w:r>
              <w:rPr>
                <w:rFonts w:hint="eastAsia" w:ascii="Times New Roman" w:hAnsi="Times New Roman" w:eastAsia="宋体"/>
                <w:b w:val="0"/>
                <w:color w:val="000000"/>
                <w:sz w:val="21"/>
                <w:lang w:eastAsia="zh-CN"/>
              </w:rPr>
              <w:t>、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医护人员 key 年度授权服务）；药事管理系统（逸曜，年≤6人次现场排障、4次知识库更新、高级培训及2次上门药学支持）</w:t>
            </w:r>
          </w:p>
        </w:tc>
        <w:tc>
          <w:tcPr>
            <w:tcW w:w="1361" w:type="dxa"/>
            <w:vAlign w:val="center"/>
          </w:tcPr>
          <w:p w14:paraId="549A1027">
            <w:pPr>
              <w:spacing w:before="40" w:after="40" w:line="240" w:lineRule="auto"/>
              <w:ind w:firstLine="0"/>
              <w:jc w:val="right"/>
            </w:pPr>
          </w:p>
        </w:tc>
        <w:tc>
          <w:tcPr>
            <w:tcW w:w="1417" w:type="dxa"/>
            <w:vAlign w:val="center"/>
          </w:tcPr>
          <w:p w14:paraId="3D47EB07">
            <w:pPr>
              <w:spacing w:before="40" w:after="40" w:line="240" w:lineRule="auto"/>
              <w:ind w:firstLine="0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授权key支持手机签名</w:t>
            </w:r>
          </w:p>
        </w:tc>
      </w:tr>
      <w:tr w14:paraId="17B528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37" w:type="dxa"/>
            <w:vAlign w:val="center"/>
          </w:tcPr>
          <w:p w14:paraId="26F06388">
            <w:pPr>
              <w:spacing w:before="40" w:after="4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w="1814" w:type="dxa"/>
            <w:vAlign w:val="center"/>
          </w:tcPr>
          <w:p w14:paraId="4677AA8A">
            <w:pPr>
              <w:spacing w:before="40" w:after="40" w:line="240" w:lineRule="auto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网络安全设备维保（附件序号5—13）</w:t>
            </w:r>
          </w:p>
        </w:tc>
        <w:tc>
          <w:tcPr>
            <w:tcW w:w="3742" w:type="dxa"/>
            <w:vAlign w:val="center"/>
          </w:tcPr>
          <w:p w14:paraId="5F3C5746">
            <w:pPr>
              <w:spacing w:before="40" w:after="40" w:line="240" w:lineRule="auto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闸、互联网出口防火墙、外联出口防火墙、上网行为管理、安全感知平台、潜伏威胁探针、堡垒机、数据库审计、杀毒软件EDR等安全设备维保；软件及特征库升级、漏洞扫描加固、安全事件应急；保障通过每年网络安全等级保护三级测评；硬件配件更换费另计</w:t>
            </w:r>
          </w:p>
        </w:tc>
        <w:tc>
          <w:tcPr>
            <w:tcW w:w="1361" w:type="dxa"/>
            <w:vAlign w:val="center"/>
          </w:tcPr>
          <w:p w14:paraId="0D62878A">
            <w:pPr>
              <w:spacing w:before="40" w:after="40" w:line="240" w:lineRule="auto"/>
              <w:ind w:firstLine="0"/>
              <w:jc w:val="right"/>
            </w:pPr>
          </w:p>
        </w:tc>
        <w:tc>
          <w:tcPr>
            <w:tcW w:w="1417" w:type="dxa"/>
            <w:vAlign w:val="center"/>
          </w:tcPr>
          <w:p w14:paraId="0E2FCAFE">
            <w:pPr>
              <w:spacing w:before="40" w:after="40" w:line="240" w:lineRule="auto"/>
              <w:ind w:firstLine="0"/>
              <w:jc w:val="center"/>
            </w:pPr>
          </w:p>
        </w:tc>
      </w:tr>
      <w:tr w14:paraId="492915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jc w:val="center"/>
        </w:trPr>
        <w:tc>
          <w:tcPr>
            <w:tcW w:w="737" w:type="dxa"/>
            <w:vAlign w:val="center"/>
          </w:tcPr>
          <w:p w14:paraId="57077A16">
            <w:pPr>
              <w:spacing w:before="40" w:after="4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w="1814" w:type="dxa"/>
            <w:vAlign w:val="center"/>
          </w:tcPr>
          <w:p w14:paraId="54FC9450">
            <w:pPr>
              <w:spacing w:before="40" w:after="40" w:line="240" w:lineRule="auto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其他硬件网络设备维保（附件序号1—4、14—26）</w:t>
            </w:r>
          </w:p>
        </w:tc>
        <w:tc>
          <w:tcPr>
            <w:tcW w:w="3742" w:type="dxa"/>
            <w:vAlign w:val="center"/>
          </w:tcPr>
          <w:p w14:paraId="2B92F45D">
            <w:pPr>
              <w:spacing w:before="40" w:after="40" w:line="240" w:lineRule="auto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超融合服务器及软件、存储万兆交换机、核心交换机、精密空调、UPS、新风机、动环系统、无线控制器、功分AP及配件、吸顶AP、汇聚交换机、POE交换机等维保；7×24运维、季度巡检、故障排查修复、硬件检测维修、配置优化、应急响应；硬件配件更换费另计</w:t>
            </w:r>
          </w:p>
        </w:tc>
        <w:tc>
          <w:tcPr>
            <w:tcW w:w="1361" w:type="dxa"/>
            <w:vAlign w:val="center"/>
          </w:tcPr>
          <w:p w14:paraId="261A9520">
            <w:pPr>
              <w:spacing w:before="40" w:after="40" w:line="240" w:lineRule="auto"/>
              <w:ind w:firstLine="0"/>
              <w:jc w:val="right"/>
            </w:pPr>
          </w:p>
        </w:tc>
        <w:tc>
          <w:tcPr>
            <w:tcW w:w="1417" w:type="dxa"/>
            <w:vAlign w:val="center"/>
          </w:tcPr>
          <w:p w14:paraId="0AE21A70">
            <w:pPr>
              <w:spacing w:before="40" w:after="40" w:line="240" w:lineRule="auto"/>
              <w:ind w:firstLine="0"/>
              <w:jc w:val="center"/>
            </w:pPr>
          </w:p>
        </w:tc>
      </w:tr>
      <w:tr w14:paraId="0C4C09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37" w:type="dxa"/>
            <w:vAlign w:val="center"/>
          </w:tcPr>
          <w:p w14:paraId="23310071">
            <w:pPr>
              <w:spacing w:before="40" w:after="4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w="1814" w:type="dxa"/>
            <w:vAlign w:val="center"/>
          </w:tcPr>
          <w:p w14:paraId="03E3CF74">
            <w:pPr>
              <w:spacing w:before="40" w:after="40" w:line="240" w:lineRule="auto"/>
              <w:ind w:firstLine="0"/>
              <w:jc w:val="left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互联网专线（≥100M）</w:t>
            </w:r>
          </w:p>
        </w:tc>
        <w:tc>
          <w:tcPr>
            <w:tcW w:w="3742" w:type="dxa"/>
            <w:vAlign w:val="center"/>
          </w:tcPr>
          <w:p w14:paraId="192CF4DA">
            <w:pPr>
              <w:spacing w:before="40" w:after="40" w:line="240" w:lineRule="auto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1条不低于100M运营商互联网专线，纳入三年框架合同，按年度付费</w:t>
            </w:r>
          </w:p>
        </w:tc>
        <w:tc>
          <w:tcPr>
            <w:tcW w:w="1361" w:type="dxa"/>
            <w:vAlign w:val="center"/>
          </w:tcPr>
          <w:p w14:paraId="72FA5EA4">
            <w:pPr>
              <w:spacing w:before="40" w:after="40" w:line="240" w:lineRule="auto"/>
              <w:ind w:firstLine="0"/>
              <w:jc w:val="right"/>
            </w:pPr>
          </w:p>
        </w:tc>
        <w:tc>
          <w:tcPr>
            <w:tcW w:w="1417" w:type="dxa"/>
            <w:vAlign w:val="center"/>
          </w:tcPr>
          <w:p w14:paraId="4838FF8B">
            <w:pPr>
              <w:spacing w:before="40" w:after="40" w:line="240" w:lineRule="auto"/>
              <w:ind w:firstLine="0"/>
              <w:jc w:val="center"/>
            </w:pPr>
          </w:p>
        </w:tc>
      </w:tr>
      <w:tr w14:paraId="39012F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jc w:val="center"/>
        </w:trPr>
        <w:tc>
          <w:tcPr>
            <w:tcW w:w="737" w:type="dxa"/>
            <w:vAlign w:val="center"/>
          </w:tcPr>
          <w:p w14:paraId="7CBB2AB8">
            <w:pPr>
              <w:spacing w:before="40" w:after="4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w="1814" w:type="dxa"/>
            <w:vAlign w:val="center"/>
          </w:tcPr>
          <w:p w14:paraId="2C3A18D6">
            <w:pPr>
              <w:spacing w:before="40" w:after="40" w:line="240" w:lineRule="auto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年度服务合计（第1—5项）</w:t>
            </w:r>
          </w:p>
        </w:tc>
        <w:tc>
          <w:tcPr>
            <w:tcW w:w="3742" w:type="dxa"/>
            <w:vAlign w:val="center"/>
          </w:tcPr>
          <w:p w14:paraId="23180256">
            <w:pPr>
              <w:spacing w:before="40" w:after="40" w:line="240" w:lineRule="auto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上述五项包干总价之和</w:t>
            </w:r>
          </w:p>
        </w:tc>
        <w:tc>
          <w:tcPr>
            <w:tcW w:w="1361" w:type="dxa"/>
            <w:vAlign w:val="center"/>
          </w:tcPr>
          <w:p w14:paraId="16F9C560">
            <w:pPr>
              <w:spacing w:before="40" w:after="40" w:line="240" w:lineRule="auto"/>
              <w:ind w:firstLine="0"/>
              <w:jc w:val="right"/>
            </w:pPr>
          </w:p>
        </w:tc>
        <w:tc>
          <w:tcPr>
            <w:tcW w:w="1417" w:type="dxa"/>
            <w:vAlign w:val="center"/>
          </w:tcPr>
          <w:p w14:paraId="5BC3C9F3">
            <w:pPr>
              <w:spacing w:before="40" w:after="4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大写：</w:t>
            </w:r>
          </w:p>
        </w:tc>
      </w:tr>
      <w:tr w14:paraId="065253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37" w:type="dxa"/>
            <w:vAlign w:val="center"/>
          </w:tcPr>
          <w:p w14:paraId="74DE43A9">
            <w:pPr>
              <w:spacing w:before="40" w:after="4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w="1814" w:type="dxa"/>
            <w:vAlign w:val="center"/>
          </w:tcPr>
          <w:p w14:paraId="1430041D">
            <w:pPr>
              <w:spacing w:before="40" w:after="40" w:line="240" w:lineRule="auto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有偿接口开发人月单价</w:t>
            </w:r>
          </w:p>
        </w:tc>
        <w:tc>
          <w:tcPr>
            <w:tcW w:w="3742" w:type="dxa"/>
            <w:vAlign w:val="center"/>
          </w:tcPr>
          <w:p w14:paraId="19E28801">
            <w:pPr>
              <w:spacing w:before="40" w:after="40" w:line="240" w:lineRule="auto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设备接口及新增第三方系统接口，按工作量评估，按实际发生结算</w:t>
            </w:r>
          </w:p>
        </w:tc>
        <w:tc>
          <w:tcPr>
            <w:tcW w:w="1361" w:type="dxa"/>
            <w:vAlign w:val="center"/>
          </w:tcPr>
          <w:p w14:paraId="799BBFEA">
            <w:pPr>
              <w:spacing w:before="40" w:after="40" w:line="240" w:lineRule="auto"/>
              <w:ind w:firstLine="0"/>
              <w:jc w:val="right"/>
            </w:pPr>
          </w:p>
        </w:tc>
        <w:tc>
          <w:tcPr>
            <w:tcW w:w="1417" w:type="dxa"/>
            <w:vAlign w:val="center"/>
          </w:tcPr>
          <w:p w14:paraId="32708577">
            <w:pPr>
              <w:spacing w:before="40" w:after="4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元/人月（仅填单价）</w:t>
            </w:r>
          </w:p>
        </w:tc>
      </w:tr>
    </w:tbl>
    <w:p w14:paraId="02DC730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</w:pPr>
      <w:r>
        <w:t>备注：</w:t>
      </w:r>
    </w:p>
    <w:p w14:paraId="62832F8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exact"/>
        <w:textAlignment w:val="auto"/>
      </w:pPr>
      <w:r>
        <w:t>1. 金额单位为人民币元（含税）；本报价为含税包干价，已包含人工、差旅、巡检、培训、报告、升级、税费等全部费用。</w:t>
      </w:r>
    </w:p>
    <w:p w14:paraId="1F3FCDD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exact"/>
        <w:textAlignment w:val="auto"/>
      </w:pPr>
      <w:r>
        <w:t>2. 硬件损坏维修或更换配件费用按市场价另行结算，不计入本总价；免费接口（新增及在用医保接口升级、政府政策性数据上传）不另行收费。</w:t>
      </w:r>
    </w:p>
    <w:p w14:paraId="4A804EA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exact"/>
        <w:textAlignment w:val="auto"/>
      </w:pPr>
      <w:r>
        <w:t>3. 第6项仅填报人月单价，按实际发生工作量结算。</w:t>
      </w:r>
    </w:p>
    <w:p w14:paraId="21C2792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exact"/>
        <w:textAlignment w:val="auto"/>
      </w:pPr>
      <w:r>
        <w:t>4. 本项目签订三年框架维保合同，供应商仅填报单年度含税报价，三年总金额按单年度报价×3测算；每年按服务考核结果确定是否继续执行下一年度服务。</w:t>
      </w:r>
    </w:p>
    <w:p w14:paraId="6FF82DE2">
      <w:bookmarkStart w:id="0" w:name="_GoBack"/>
      <w:bookmarkEnd w:id="0"/>
    </w:p>
    <w:sectPr>
      <w:footerReference r:id="rId5" w:type="default"/>
      <w:pgSz w:w="11906" w:h="16838"/>
      <w:pgMar w:top="1417" w:right="1417" w:bottom="1417" w:left="1417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06C8738">
    <w:pPr>
      <w:pStyle w:val="2"/>
      <w:jc w:val="center"/>
    </w:pPr>
    <w:r>
      <w:rPr>
        <w:rFonts w:ascii="Times New Roman" w:hAnsi="Times New Roman" w:eastAsia="宋体"/>
        <w:b w:val="0"/>
        <w:color w:val="000000"/>
        <w:sz w:val="18"/>
      </w:rPr>
      <w:t xml:space="preserve">第 </w:t>
    </w:r>
    <w:r>
      <w:rPr>
        <w:rFonts w:ascii="Times New Roman" w:hAnsi="Times New Roman" w:eastAsia="宋体"/>
        <w:b w:val="0"/>
        <w:color w:val="000000"/>
        <w:sz w:val="18"/>
      </w:rPr>
      <w:fldChar w:fldCharType="begin"/>
    </w:r>
    <w:r>
      <w:rPr>
        <w:rFonts w:ascii="Times New Roman" w:hAnsi="Times New Roman" w:eastAsia="宋体"/>
        <w:b w:val="0"/>
        <w:color w:val="000000"/>
        <w:sz w:val="18"/>
      </w:rPr>
      <w:instrText xml:space="preserve">PAGE</w:instrText>
    </w:r>
    <w:r>
      <w:rPr>
        <w:rFonts w:ascii="Times New Roman" w:hAnsi="Times New Roman" w:eastAsia="宋体"/>
        <w:b w:val="0"/>
        <w:color w:val="000000"/>
        <w:sz w:val="18"/>
      </w:rPr>
      <w:fldChar w:fldCharType="end"/>
    </w:r>
    <w:r>
      <w:rPr>
        <w:rFonts w:ascii="Times New Roman" w:hAnsi="Times New Roman" w:eastAsia="宋体"/>
        <w:b w:val="0"/>
        <w:color w:val="000000"/>
        <w:sz w:val="18"/>
      </w:rPr>
      <w:t xml:space="preserve"> 页 共 </w:t>
    </w:r>
    <w:r>
      <w:rPr>
        <w:rFonts w:ascii="Times New Roman" w:hAnsi="Times New Roman" w:eastAsia="宋体"/>
        <w:b w:val="0"/>
        <w:color w:val="000000"/>
        <w:sz w:val="18"/>
      </w:rPr>
      <w:fldChar w:fldCharType="begin"/>
    </w:r>
    <w:r>
      <w:rPr>
        <w:rFonts w:ascii="Times New Roman" w:hAnsi="Times New Roman" w:eastAsia="宋体"/>
        <w:b w:val="0"/>
        <w:color w:val="000000"/>
        <w:sz w:val="18"/>
      </w:rPr>
      <w:instrText xml:space="preserve">NUMPAGES</w:instrText>
    </w:r>
    <w:r>
      <w:rPr>
        <w:rFonts w:ascii="Times New Roman" w:hAnsi="Times New Roman" w:eastAsia="宋体"/>
        <w:b w:val="0"/>
        <w:color w:val="000000"/>
        <w:sz w:val="18"/>
      </w:rPr>
      <w:fldChar w:fldCharType="end"/>
    </w:r>
    <w:r>
      <w:rPr>
        <w:rFonts w:ascii="Times New Roman" w:hAnsi="Times New Roman" w:eastAsia="宋体"/>
        <w:b w:val="0"/>
        <w:color w:val="000000"/>
        <w:sz w:val="18"/>
      </w:rPr>
      <w:t xml:space="preserve"> 页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8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FAD298E"/>
    <w:rsid w:val="3FAD29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Times New Roman" w:hAnsi="Times New Roman" w:eastAsia="宋体" w:cstheme="minorBidi"/>
      <w:sz w:val="24"/>
      <w:szCs w:val="22"/>
      <w:lang w:val="en-US" w:eastAsia="en-US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table" w:styleId="4">
    <w:name w:val="Table Grid"/>
    <w:basedOn w:val="3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2026-10-26T08:30:00Z</dcterms:created>
  <dc:creator>Richard</dc:creator>
  <cp:lastModifiedBy>Richard</cp:lastModifiedBy>
  <dcterms:modified xsi:type="dcterms:W3CDTF">2026-10-26T08:30:36Z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135FE8EC744840B88EA82707A0564065_11</vt:lpwstr>
  </property>
  <property fmtid="{D5CDD505-2E9C-101B-9397-08002B2CF9AE}" pid="4" name="KSOTemplateDocerSaveRecord">
    <vt:lpwstr>eyJoZGlkIjoiOTE2NmI5YjE4YWNjOWJlMDU3N2ZlMTdmYmExYjE4NDEiLCJ1c2VySWQiOiI0NjQ4NzQ4NzYifQ==</vt:lpwstr>
  </property>
</Properties>
</file>